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8298"/>
        <w:gridCol w:w="2718"/>
      </w:tblGrid>
      <w:tr w:rsidR="002D2695" w:rsidRPr="002D2695" w:rsidTr="00BC6E2F">
        <w:tc>
          <w:tcPr>
            <w:tcW w:w="11016" w:type="dxa"/>
            <w:gridSpan w:val="2"/>
            <w:shd w:val="clear" w:color="auto" w:fill="948A54" w:themeFill="background2" w:themeFillShade="80"/>
          </w:tcPr>
          <w:p w:rsidR="002D2695" w:rsidRPr="002D2695" w:rsidRDefault="002D2695" w:rsidP="00BC6E2F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2D2695" w:rsidRPr="002D2695" w:rsidTr="002D2695">
        <w:tc>
          <w:tcPr>
            <w:tcW w:w="11016" w:type="dxa"/>
            <w:gridSpan w:val="2"/>
          </w:tcPr>
          <w:p w:rsidR="002D2695" w:rsidRPr="00A07172" w:rsidRDefault="002D2695" w:rsidP="002D2695">
            <w:pPr>
              <w:rPr>
                <w:rFonts w:ascii="Segoe UI" w:hAnsi="Segoe UI" w:cs="Segoe UI"/>
                <w:color w:val="632423" w:themeColor="accent2" w:themeShade="80"/>
                <w:sz w:val="28"/>
                <w:szCs w:val="28"/>
              </w:rPr>
            </w:pPr>
            <w:r w:rsidRPr="00A07172">
              <w:rPr>
                <w:rFonts w:ascii="Segoe UI" w:hAnsi="Segoe UI" w:cs="Segoe UI"/>
                <w:color w:val="632423" w:themeColor="accent2" w:themeShade="80"/>
                <w:sz w:val="28"/>
                <w:szCs w:val="28"/>
              </w:rPr>
              <w:t>Reaffirmation of Accreditation Status with the</w:t>
            </w:r>
          </w:p>
          <w:p w:rsidR="002D2695" w:rsidRPr="00A07172" w:rsidRDefault="002D2695" w:rsidP="002D2695">
            <w:pPr>
              <w:rPr>
                <w:rFonts w:ascii="Segoe UI" w:hAnsi="Segoe UI" w:cs="Segoe UI"/>
                <w:color w:val="632423" w:themeColor="accent2" w:themeShade="80"/>
                <w:sz w:val="28"/>
                <w:szCs w:val="28"/>
              </w:rPr>
            </w:pPr>
            <w:r w:rsidRPr="00A07172">
              <w:rPr>
                <w:rFonts w:ascii="Segoe UI" w:hAnsi="Segoe UI" w:cs="Segoe UI"/>
                <w:color w:val="632423" w:themeColor="accent2" w:themeShade="80"/>
                <w:sz w:val="28"/>
                <w:szCs w:val="28"/>
              </w:rPr>
              <w:t>Southern Association of Colleges &amp; Schools – Commission on Colleges</w:t>
            </w:r>
          </w:p>
          <w:p w:rsidR="002D2695" w:rsidRPr="002D2695" w:rsidRDefault="00764B02" w:rsidP="00044E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948A54" w:themeColor="background2" w:themeShade="80"/>
                <w:sz w:val="20"/>
                <w:szCs w:val="20"/>
              </w:rPr>
              <w:t xml:space="preserve">Progress Report for the </w:t>
            </w:r>
            <w:r w:rsidR="002D2695" w:rsidRPr="002D2695">
              <w:rPr>
                <w:rFonts w:ascii="Segoe UI" w:hAnsi="Segoe UI" w:cs="Segoe UI"/>
                <w:color w:val="948A54" w:themeColor="background2" w:themeShade="80"/>
                <w:sz w:val="20"/>
                <w:szCs w:val="20"/>
              </w:rPr>
              <w:t>Appalachian State University</w:t>
            </w:r>
            <w:r w:rsidR="00044E77">
              <w:rPr>
                <w:rFonts w:ascii="Segoe UI" w:hAnsi="Segoe UI" w:cs="Segoe UI"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2D2695" w:rsidRPr="002D2695">
              <w:rPr>
                <w:rFonts w:ascii="Segoe UI" w:hAnsi="Segoe UI" w:cs="Segoe UI"/>
                <w:color w:val="948A54" w:themeColor="background2" w:themeShade="80"/>
                <w:sz w:val="20"/>
                <w:szCs w:val="20"/>
              </w:rPr>
              <w:t xml:space="preserve">Board of Trustees | </w:t>
            </w:r>
            <w:r>
              <w:rPr>
                <w:rFonts w:ascii="Segoe UI" w:hAnsi="Segoe UI" w:cs="Segoe UI"/>
                <w:color w:val="948A54" w:themeColor="background2" w:themeShade="80"/>
                <w:sz w:val="20"/>
                <w:szCs w:val="20"/>
              </w:rPr>
              <w:t>March 23</w:t>
            </w:r>
            <w:r w:rsidR="002D2695" w:rsidRPr="002D2695">
              <w:rPr>
                <w:rFonts w:ascii="Segoe UI" w:hAnsi="Segoe UI" w:cs="Segoe UI"/>
                <w:color w:val="948A54" w:themeColor="background2" w:themeShade="80"/>
                <w:sz w:val="20"/>
                <w:szCs w:val="20"/>
              </w:rPr>
              <w:t>, 2012</w:t>
            </w:r>
          </w:p>
        </w:tc>
      </w:tr>
      <w:tr w:rsidR="002D2695" w:rsidRPr="002D2695" w:rsidTr="002D2695">
        <w:tc>
          <w:tcPr>
            <w:tcW w:w="11016" w:type="dxa"/>
            <w:gridSpan w:val="2"/>
            <w:shd w:val="clear" w:color="auto" w:fill="948A54" w:themeFill="background2" w:themeFillShade="80"/>
          </w:tcPr>
          <w:p w:rsidR="002D2695" w:rsidRPr="002D2695" w:rsidRDefault="002D2695" w:rsidP="002D2695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044E77" w:rsidRPr="002D2695" w:rsidTr="000D215F">
        <w:trPr>
          <w:trHeight w:val="4382"/>
        </w:trPr>
        <w:tc>
          <w:tcPr>
            <w:tcW w:w="8298" w:type="dxa"/>
          </w:tcPr>
          <w:p w:rsidR="00044E77" w:rsidRPr="00A07172" w:rsidRDefault="00044E77" w:rsidP="002D2695">
            <w:pPr>
              <w:rPr>
                <w:rFonts w:ascii="Segoe UI" w:hAnsi="Segoe UI" w:cs="Segoe UI"/>
                <w:b/>
                <w:color w:val="632423" w:themeColor="accent2" w:themeShade="80"/>
                <w:sz w:val="20"/>
                <w:szCs w:val="20"/>
              </w:rPr>
            </w:pPr>
            <w:r w:rsidRPr="00A07172">
              <w:rPr>
                <w:rFonts w:ascii="Segoe UI" w:hAnsi="Segoe UI" w:cs="Segoe UI"/>
                <w:b/>
                <w:color w:val="632423" w:themeColor="accent2" w:themeShade="80"/>
                <w:sz w:val="20"/>
                <w:szCs w:val="20"/>
              </w:rPr>
              <w:t>Overview &amp; Leadership</w:t>
            </w:r>
          </w:p>
          <w:p w:rsidR="00764B02" w:rsidRPr="000D215F" w:rsidRDefault="00764B02" w:rsidP="002D2695">
            <w:pPr>
              <w:rPr>
                <w:rFonts w:ascii="Segoe UI" w:hAnsi="Segoe UI" w:cs="Segoe UI"/>
                <w:b/>
                <w:sz w:val="6"/>
                <w:szCs w:val="6"/>
              </w:rPr>
            </w:pPr>
          </w:p>
          <w:p w:rsidR="00044E77" w:rsidRPr="002D2695" w:rsidRDefault="00044E77" w:rsidP="002D2695">
            <w:pPr>
              <w:rPr>
                <w:rFonts w:ascii="Segoe UI" w:hAnsi="Segoe UI" w:cs="Segoe UI"/>
                <w:sz w:val="20"/>
                <w:szCs w:val="20"/>
              </w:rPr>
            </w:pP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The re-affirmation of our accreditation status includes two major components:  a </w:t>
            </w:r>
            <w:r w:rsidRPr="00000CE6">
              <w:rPr>
                <w:rFonts w:ascii="Segoe UI" w:hAnsi="Segoe UI" w:cs="Segoe UI"/>
                <w:b/>
                <w:sz w:val="20"/>
                <w:szCs w:val="20"/>
              </w:rPr>
              <w:t>Compliance Certification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 with extensive evidence that we meet 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eighty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P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rinciples of 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A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ccreditation, and a </w:t>
            </w:r>
            <w:r w:rsidRPr="00000CE6">
              <w:rPr>
                <w:rFonts w:ascii="Segoe UI" w:hAnsi="Segoe UI" w:cs="Segoe UI"/>
                <w:b/>
                <w:sz w:val="20"/>
                <w:szCs w:val="20"/>
              </w:rPr>
              <w:t>Quality Enhancement Plan</w:t>
            </w:r>
            <w:r w:rsidR="000D215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D215F" w:rsidRPr="000D215F">
              <w:rPr>
                <w:rFonts w:ascii="Segoe UI" w:hAnsi="Segoe UI" w:cs="Segoe UI"/>
                <w:sz w:val="20"/>
                <w:szCs w:val="20"/>
              </w:rPr>
              <w:t>designed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 xml:space="preserve"> to improve the learning experience of all students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The topic of our Quality Enhancement Plan is </w:t>
            </w:r>
            <w:r w:rsidRPr="000D215F">
              <w:rPr>
                <w:rFonts w:ascii="Segoe UI" w:hAnsi="Segoe UI" w:cs="Segoe UI"/>
                <w:b/>
                <w:i/>
                <w:sz w:val="20"/>
                <w:szCs w:val="20"/>
              </w:rPr>
              <w:t>Global Learning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044E77" w:rsidRPr="002D2695" w:rsidRDefault="00044E77" w:rsidP="002D269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44E77" w:rsidRDefault="00044E77" w:rsidP="002D2695">
            <w:pPr>
              <w:rPr>
                <w:rFonts w:ascii="Segoe UI" w:hAnsi="Segoe UI" w:cs="Segoe UI"/>
                <w:sz w:val="20"/>
                <w:szCs w:val="20"/>
              </w:rPr>
            </w:pP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Oversight of 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>process is provided by a SACS Leadership Team of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 xml:space="preserve"> our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 chancel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lor, provost, faculty member 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>Dr.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Robin </w:t>
            </w:r>
            <w:proofErr w:type="spellStart"/>
            <w:r w:rsidRPr="002D2695">
              <w:rPr>
                <w:rFonts w:ascii="Segoe UI" w:hAnsi="Segoe UI" w:cs="Segoe UI"/>
                <w:sz w:val="20"/>
                <w:szCs w:val="20"/>
              </w:rPr>
              <w:t>Byerly</w:t>
            </w:r>
            <w:proofErr w:type="spellEnd"/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associate professor in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 Management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,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 and SACS 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L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iaison Dr. Bobby Sharp, 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d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>irector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 xml:space="preserve"> of</w:t>
            </w:r>
            <w:r w:rsidRPr="002D2695">
              <w:rPr>
                <w:rFonts w:ascii="Segoe UI" w:hAnsi="Segoe UI" w:cs="Segoe UI"/>
                <w:sz w:val="20"/>
                <w:szCs w:val="20"/>
              </w:rPr>
              <w:t xml:space="preserve"> Institutional Research, Assessment, and Planning.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:rsidR="00044E77" w:rsidRDefault="00044E77" w:rsidP="002D269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44E77" w:rsidRPr="000D215F" w:rsidRDefault="00044E77" w:rsidP="00044E7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 Compliance Certification effort is led by Georgie Donovan, associate professor in the University Library, with thirteen sub-committees comprised of faculty, staff, and administrators.  The Quality Enhancement Plan is co-chaired by </w:t>
            </w:r>
            <w:r w:rsidRPr="00000CE6">
              <w:rPr>
                <w:rFonts w:ascii="Segoe UI" w:hAnsi="Segoe UI" w:cs="Segoe UI"/>
                <w:sz w:val="20"/>
                <w:szCs w:val="20"/>
              </w:rPr>
              <w:t>Dr. Tony Carey, Vice Provost for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Faculty Affairs and Dr. Jesse </w:t>
            </w:r>
            <w:proofErr w:type="spellStart"/>
            <w:r w:rsidRPr="00000CE6">
              <w:rPr>
                <w:rFonts w:ascii="Segoe UI" w:hAnsi="Segoe UI" w:cs="Segoe UI"/>
                <w:sz w:val="20"/>
                <w:szCs w:val="20"/>
              </w:rPr>
              <w:t>Lutabi</w:t>
            </w:r>
            <w:r>
              <w:rPr>
                <w:rFonts w:ascii="Segoe UI" w:hAnsi="Segoe UI" w:cs="Segoe UI"/>
                <w:sz w:val="20"/>
                <w:szCs w:val="20"/>
              </w:rPr>
              <w:t>ngwa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International Education &amp; </w:t>
            </w:r>
            <w:r w:rsidRPr="00000CE6">
              <w:rPr>
                <w:rFonts w:ascii="Segoe UI" w:hAnsi="Segoe UI" w:cs="Segoe UI"/>
                <w:sz w:val="20"/>
                <w:szCs w:val="20"/>
              </w:rPr>
              <w:t>Development</w:t>
            </w:r>
            <w:r>
              <w:rPr>
                <w:rFonts w:ascii="Segoe UI" w:hAnsi="Segoe UI" w:cs="Segoe UI"/>
                <w:sz w:val="20"/>
                <w:szCs w:val="20"/>
              </w:rPr>
              <w:t>.  They work with a leadership team of three others, and in collaboration with a committee structure comprised of dozens of faculty, stud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ents, staff, and administrators.</w:t>
            </w:r>
          </w:p>
        </w:tc>
        <w:tc>
          <w:tcPr>
            <w:tcW w:w="2718" w:type="dxa"/>
          </w:tcPr>
          <w:p w:rsidR="00941C83" w:rsidRPr="00941C83" w:rsidRDefault="00941C83" w:rsidP="002D2695">
            <w:pPr>
              <w:jc w:val="right"/>
              <w:rPr>
                <w:rFonts w:ascii="Segoe UI" w:hAnsi="Segoe UI" w:cs="Segoe UI"/>
                <w:i/>
                <w:color w:val="632423" w:themeColor="accent2" w:themeShade="80"/>
                <w:sz w:val="6"/>
                <w:szCs w:val="6"/>
              </w:rPr>
            </w:pPr>
          </w:p>
          <w:p w:rsidR="00044E77" w:rsidRPr="00A07172" w:rsidRDefault="00044E77" w:rsidP="002D2695">
            <w:pPr>
              <w:jc w:val="right"/>
              <w:rPr>
                <w:rFonts w:ascii="Segoe UI" w:hAnsi="Segoe UI" w:cs="Segoe UI"/>
                <w:i/>
                <w:color w:val="632423" w:themeColor="accent2" w:themeShade="80"/>
                <w:sz w:val="20"/>
                <w:szCs w:val="20"/>
              </w:rPr>
            </w:pPr>
            <w:r w:rsidRPr="00A07172">
              <w:rPr>
                <w:rFonts w:ascii="Segoe UI" w:hAnsi="Segoe UI" w:cs="Segoe UI"/>
                <w:i/>
                <w:color w:val="632423" w:themeColor="accent2" w:themeShade="80"/>
                <w:sz w:val="20"/>
                <w:szCs w:val="20"/>
              </w:rPr>
              <w:t>September 2012</w:t>
            </w:r>
          </w:p>
          <w:p w:rsidR="00044E77" w:rsidRDefault="00044E77" w:rsidP="002D269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00CE6">
              <w:rPr>
                <w:rFonts w:ascii="Segoe UI" w:hAnsi="Segoe UI" w:cs="Segoe UI"/>
                <w:sz w:val="20"/>
                <w:szCs w:val="20"/>
              </w:rPr>
              <w:t>Compliance Certification submitted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00CE6">
              <w:rPr>
                <w:rFonts w:ascii="Segoe UI" w:hAnsi="Segoe UI" w:cs="Segoe UI"/>
                <w:sz w:val="20"/>
                <w:szCs w:val="20"/>
              </w:rPr>
              <w:t xml:space="preserve">to SACS </w:t>
            </w:r>
          </w:p>
          <w:p w:rsidR="00044E77" w:rsidRPr="00000CE6" w:rsidRDefault="00044E77" w:rsidP="002D269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00CE6">
              <w:rPr>
                <w:rFonts w:ascii="Segoe UI" w:hAnsi="Segoe UI" w:cs="Segoe UI"/>
                <w:sz w:val="20"/>
                <w:szCs w:val="20"/>
              </w:rPr>
              <w:t xml:space="preserve">for offsite review </w:t>
            </w:r>
          </w:p>
          <w:p w:rsidR="00044E77" w:rsidRPr="00000CE6" w:rsidRDefault="00044E77" w:rsidP="002D269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044E77" w:rsidRPr="00A07172" w:rsidRDefault="00044E77" w:rsidP="00444F5F">
            <w:pPr>
              <w:jc w:val="right"/>
              <w:rPr>
                <w:rFonts w:ascii="Segoe UI" w:hAnsi="Segoe UI" w:cs="Segoe UI"/>
                <w:i/>
                <w:color w:val="632423" w:themeColor="accent2" w:themeShade="80"/>
                <w:sz w:val="20"/>
                <w:szCs w:val="20"/>
              </w:rPr>
            </w:pPr>
            <w:r w:rsidRPr="00A07172">
              <w:rPr>
                <w:rFonts w:ascii="Segoe UI" w:hAnsi="Segoe UI" w:cs="Segoe UI"/>
                <w:i/>
                <w:color w:val="632423" w:themeColor="accent2" w:themeShade="80"/>
                <w:sz w:val="20"/>
                <w:szCs w:val="20"/>
              </w:rPr>
              <w:t>February 2013</w:t>
            </w:r>
          </w:p>
          <w:p w:rsidR="00044E77" w:rsidRPr="00000CE6" w:rsidRDefault="00044E77" w:rsidP="00444F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00CE6">
              <w:rPr>
                <w:rFonts w:ascii="Segoe UI" w:hAnsi="Segoe UI" w:cs="Segoe UI"/>
                <w:sz w:val="20"/>
                <w:szCs w:val="20"/>
              </w:rPr>
              <w:t xml:space="preserve">Quality Enhancement Plan </w:t>
            </w:r>
          </w:p>
          <w:p w:rsidR="00044E77" w:rsidRPr="00000CE6" w:rsidRDefault="00044E77" w:rsidP="00444F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submitted</w:t>
            </w:r>
            <w:r w:rsidRPr="00000CE6">
              <w:rPr>
                <w:rFonts w:ascii="Segoe UI" w:hAnsi="Segoe UI" w:cs="Segoe UI"/>
                <w:sz w:val="20"/>
                <w:szCs w:val="20"/>
              </w:rPr>
              <w:t xml:space="preserve"> to SACS  </w:t>
            </w:r>
          </w:p>
          <w:p w:rsidR="00044E77" w:rsidRPr="00000CE6" w:rsidRDefault="00044E77" w:rsidP="00444F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044E77" w:rsidRPr="00A07172" w:rsidRDefault="00044E77" w:rsidP="00444F5F">
            <w:pPr>
              <w:jc w:val="right"/>
              <w:rPr>
                <w:rFonts w:ascii="Segoe UI" w:hAnsi="Segoe UI" w:cs="Segoe UI"/>
                <w:i/>
                <w:color w:val="632423" w:themeColor="accent2" w:themeShade="80"/>
                <w:sz w:val="20"/>
                <w:szCs w:val="20"/>
              </w:rPr>
            </w:pPr>
            <w:r w:rsidRPr="00A07172">
              <w:rPr>
                <w:rFonts w:ascii="Segoe UI" w:hAnsi="Segoe UI" w:cs="Segoe UI"/>
                <w:i/>
                <w:color w:val="632423" w:themeColor="accent2" w:themeShade="80"/>
                <w:sz w:val="20"/>
                <w:szCs w:val="20"/>
              </w:rPr>
              <w:t>April 2013</w:t>
            </w:r>
          </w:p>
          <w:p w:rsidR="00044E77" w:rsidRPr="00000CE6" w:rsidRDefault="00044E77" w:rsidP="00444F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00CE6">
              <w:rPr>
                <w:rFonts w:ascii="Segoe UI" w:hAnsi="Segoe UI" w:cs="Segoe UI"/>
                <w:sz w:val="20"/>
                <w:szCs w:val="20"/>
              </w:rPr>
              <w:t xml:space="preserve">Onsite review committee </w:t>
            </w:r>
          </w:p>
          <w:p w:rsidR="00044E77" w:rsidRPr="00000CE6" w:rsidRDefault="00044E77" w:rsidP="00444F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00CE6">
              <w:rPr>
                <w:rFonts w:ascii="Segoe UI" w:hAnsi="Segoe UI" w:cs="Segoe UI"/>
                <w:sz w:val="20"/>
                <w:szCs w:val="20"/>
              </w:rPr>
              <w:t xml:space="preserve">visits Appalachian campus  </w:t>
            </w:r>
          </w:p>
          <w:p w:rsidR="00044E77" w:rsidRDefault="00044E77" w:rsidP="00444F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044E77" w:rsidRDefault="00044E77" w:rsidP="00444F5F">
            <w:pPr>
              <w:jc w:val="right"/>
              <w:rPr>
                <w:rFonts w:ascii="Segoe UI" w:hAnsi="Segoe UI" w:cs="Segoe UI"/>
                <w:i/>
                <w:sz w:val="20"/>
                <w:szCs w:val="20"/>
              </w:rPr>
            </w:pPr>
            <w:r w:rsidRPr="00A07172">
              <w:rPr>
                <w:rFonts w:ascii="Segoe UI" w:hAnsi="Segoe UI" w:cs="Segoe UI"/>
                <w:i/>
                <w:color w:val="632423" w:themeColor="accent2" w:themeShade="80"/>
                <w:sz w:val="20"/>
                <w:szCs w:val="20"/>
              </w:rPr>
              <w:t>December 2013</w:t>
            </w:r>
          </w:p>
          <w:p w:rsidR="00044E77" w:rsidRDefault="00044E77" w:rsidP="000D21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="000D215F">
              <w:rPr>
                <w:rFonts w:ascii="Segoe UI" w:hAnsi="Segoe UI" w:cs="Segoe UI"/>
                <w:sz w:val="20"/>
                <w:szCs w:val="20"/>
              </w:rPr>
              <w:t>eaffirmation decision</w:t>
            </w:r>
          </w:p>
          <w:p w:rsidR="00A07172" w:rsidRPr="00044E77" w:rsidRDefault="00A07172" w:rsidP="000D215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announced</w:t>
            </w:r>
          </w:p>
        </w:tc>
      </w:tr>
      <w:tr w:rsidR="005B54E5" w:rsidRPr="002D2695" w:rsidTr="00E50C93">
        <w:tc>
          <w:tcPr>
            <w:tcW w:w="11016" w:type="dxa"/>
            <w:gridSpan w:val="2"/>
          </w:tcPr>
          <w:p w:rsidR="005B54E5" w:rsidRPr="00A07172" w:rsidRDefault="005B54E5" w:rsidP="005B54E5">
            <w:pPr>
              <w:rPr>
                <w:rFonts w:ascii="Segoe UI" w:hAnsi="Segoe UI" w:cs="Segoe UI"/>
                <w:b/>
                <w:color w:val="632423" w:themeColor="accent2" w:themeShade="80"/>
                <w:sz w:val="20"/>
                <w:szCs w:val="20"/>
              </w:rPr>
            </w:pPr>
            <w:r w:rsidRPr="00A07172">
              <w:rPr>
                <w:rFonts w:ascii="Segoe UI" w:hAnsi="Segoe UI" w:cs="Segoe UI"/>
                <w:b/>
                <w:color w:val="632423" w:themeColor="accent2" w:themeShade="80"/>
                <w:sz w:val="20"/>
                <w:szCs w:val="20"/>
              </w:rPr>
              <w:t>Compliance Certification</w:t>
            </w:r>
          </w:p>
          <w:p w:rsidR="000D215F" w:rsidRPr="000D215F" w:rsidRDefault="000D215F" w:rsidP="000D215F">
            <w:pPr>
              <w:rPr>
                <w:rFonts w:ascii="Segoe UI" w:hAnsi="Segoe UI" w:cs="Segoe UI"/>
                <w:b/>
                <w:sz w:val="6"/>
                <w:szCs w:val="6"/>
              </w:rPr>
            </w:pPr>
          </w:p>
          <w:p w:rsidR="005B54E5" w:rsidRDefault="005B54E5" w:rsidP="005B54E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Appalachian State is in compliance with all of the standards required in the SACSCOC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Principles of Accreditation.</w:t>
            </w:r>
            <w:r w:rsidR="00941C83">
              <w:rPr>
                <w:rFonts w:ascii="Segoe UI" w:hAnsi="Segoe UI" w:cs="Segoe UI"/>
                <w:sz w:val="20"/>
                <w:szCs w:val="20"/>
              </w:rPr>
              <w:t xml:space="preserve">  However, 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he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primary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challenge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for all institutions undergoing this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process lies in providing documentation 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 xml:space="preserve">which unequivocally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demonstrates our compliance.  Accreditation standards cover a wide range of issues including governance, financial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and physical </w:t>
            </w:r>
            <w:r>
              <w:rPr>
                <w:rFonts w:ascii="Segoe UI" w:hAnsi="Segoe UI" w:cs="Segoe UI"/>
                <w:sz w:val="20"/>
                <w:szCs w:val="20"/>
              </w:rPr>
              <w:t>resources of the institution, curriculum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 at every level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faculty credentials, and strong support services for learning, research, and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accomplishment of </w:t>
            </w:r>
            <w:r>
              <w:rPr>
                <w:rFonts w:ascii="Segoe UI" w:hAnsi="Segoe UI" w:cs="Segoe UI"/>
                <w:sz w:val="20"/>
                <w:szCs w:val="20"/>
              </w:rPr>
              <w:t>our mission.</w:t>
            </w:r>
          </w:p>
          <w:p w:rsidR="005B54E5" w:rsidRDefault="005B54E5" w:rsidP="005B54E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44E77" w:rsidRDefault="00941C83" w:rsidP="00044E7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ommittees 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 xml:space="preserve">recently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>finished draft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>ing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the Compliance Certification report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 xml:space="preserve">with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300 pages of text and 1,500 pieces of evidence 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 xml:space="preserve">to document our case for compliance. 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In the five months remaining, we will review the report for clarity and accuracy, include 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>up-to-date documents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>, and ask stakeholders on campus – and peer reviewers off-campus – to read and edit sections of the report.</w:t>
            </w:r>
            <w:bookmarkStart w:id="0" w:name="_GoBack"/>
            <w:bookmarkEnd w:id="0"/>
          </w:p>
          <w:p w:rsidR="00044E77" w:rsidRDefault="00044E77" w:rsidP="00044E7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B54E5" w:rsidRDefault="00A07172" w:rsidP="00044E7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One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challenge in preparing the report has been </w:t>
            </w:r>
            <w:r w:rsidR="00941C83">
              <w:rPr>
                <w:rFonts w:ascii="Segoe UI" w:hAnsi="Segoe UI" w:cs="Segoe UI"/>
                <w:sz w:val="20"/>
                <w:szCs w:val="20"/>
              </w:rPr>
              <w:t xml:space="preserve">providing documentation of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assessment activities across a broad range of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campus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units.  While faculty, staff, and administrators across the university consistently use data to inform their decisions, we haven’t always documented the improvements made through our analysis of assessment data in a single clearinghouse so that external reviewers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could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easily see the results of our assessment efforts.  </w:t>
            </w:r>
            <w:r>
              <w:rPr>
                <w:rFonts w:ascii="Segoe UI" w:hAnsi="Segoe UI" w:cs="Segoe UI"/>
                <w:sz w:val="20"/>
                <w:szCs w:val="20"/>
              </w:rPr>
              <w:t>W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now have a stronger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campus-wide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system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>record</w:t>
            </w:r>
            <w:r>
              <w:rPr>
                <w:rFonts w:ascii="Segoe UI" w:hAnsi="Segoe UI" w:cs="Segoe UI"/>
                <w:sz w:val="20"/>
                <w:szCs w:val="20"/>
              </w:rPr>
              <w:t>ing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both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assessment results and improvements 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made 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 xml:space="preserve">based on the analysis of those </w:t>
            </w:r>
            <w:r>
              <w:rPr>
                <w:rFonts w:ascii="Segoe UI" w:hAnsi="Segoe UI" w:cs="Segoe UI"/>
                <w:sz w:val="20"/>
                <w:szCs w:val="20"/>
              </w:rPr>
              <w:t>results</w:t>
            </w:r>
            <w:r w:rsidR="005B54E5">
              <w:rPr>
                <w:rFonts w:ascii="Segoe UI" w:hAnsi="Segoe UI" w:cs="Segoe UI"/>
                <w:sz w:val="20"/>
                <w:szCs w:val="20"/>
              </w:rPr>
              <w:t>.</w:t>
            </w:r>
            <w:r w:rsidR="00044E7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:rsidR="00044E77" w:rsidRPr="000D215F" w:rsidRDefault="00044E77" w:rsidP="00044E7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44E77" w:rsidRPr="002D2695" w:rsidTr="00625A58">
        <w:tc>
          <w:tcPr>
            <w:tcW w:w="11016" w:type="dxa"/>
            <w:gridSpan w:val="2"/>
          </w:tcPr>
          <w:p w:rsidR="00044E77" w:rsidRPr="00A07172" w:rsidRDefault="00044E77" w:rsidP="00044E77">
            <w:pPr>
              <w:rPr>
                <w:rFonts w:ascii="Segoe UI" w:hAnsi="Segoe UI" w:cs="Segoe UI"/>
                <w:b/>
                <w:color w:val="632423" w:themeColor="accent2" w:themeShade="80"/>
                <w:sz w:val="20"/>
                <w:szCs w:val="20"/>
              </w:rPr>
            </w:pPr>
            <w:r w:rsidRPr="00A07172">
              <w:rPr>
                <w:rFonts w:ascii="Segoe UI" w:hAnsi="Segoe UI" w:cs="Segoe UI"/>
                <w:b/>
                <w:color w:val="632423" w:themeColor="accent2" w:themeShade="80"/>
                <w:sz w:val="20"/>
                <w:szCs w:val="20"/>
              </w:rPr>
              <w:t>Quality Enhancement Plan (QEP)</w:t>
            </w:r>
          </w:p>
          <w:p w:rsidR="000D215F" w:rsidRPr="000D215F" w:rsidRDefault="000D215F" w:rsidP="000D215F">
            <w:pPr>
              <w:rPr>
                <w:rFonts w:ascii="Segoe UI" w:hAnsi="Segoe UI" w:cs="Segoe UI"/>
                <w:b/>
                <w:sz w:val="6"/>
                <w:szCs w:val="6"/>
              </w:rPr>
            </w:pPr>
          </w:p>
          <w:p w:rsidR="00764B02" w:rsidRDefault="00044E77" w:rsidP="00764B02">
            <w:pPr>
              <w:rPr>
                <w:rFonts w:ascii="Segoe UI" w:hAnsi="Segoe UI" w:cs="Segoe UI"/>
                <w:sz w:val="20"/>
                <w:szCs w:val="20"/>
              </w:rPr>
            </w:pPr>
            <w:r w:rsidRPr="00044E77">
              <w:rPr>
                <w:rFonts w:ascii="Segoe UI" w:hAnsi="Segoe UI" w:cs="Segoe UI"/>
                <w:sz w:val="20"/>
                <w:szCs w:val="20"/>
              </w:rPr>
              <w:t xml:space="preserve">The focus of Appalachian’s QEP is global learning.  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>We intend for s</w:t>
            </w:r>
            <w:r w:rsidRPr="00044E77">
              <w:rPr>
                <w:rFonts w:ascii="Segoe UI" w:hAnsi="Segoe UI" w:cs="Segoe UI"/>
                <w:sz w:val="20"/>
                <w:szCs w:val="20"/>
              </w:rPr>
              <w:t xml:space="preserve">tudents </w:t>
            </w:r>
            <w:r w:rsidR="00A07172">
              <w:rPr>
                <w:rFonts w:ascii="Segoe UI" w:hAnsi="Segoe UI" w:cs="Segoe UI"/>
                <w:sz w:val="20"/>
                <w:szCs w:val="20"/>
              </w:rPr>
              <w:t xml:space="preserve">to achieve three primary goals as a result of the QEP:  they will </w:t>
            </w:r>
            <w:r w:rsidRPr="00044E77">
              <w:rPr>
                <w:rFonts w:ascii="Segoe UI" w:hAnsi="Segoe UI" w:cs="Segoe UI"/>
                <w:sz w:val="20"/>
                <w:szCs w:val="20"/>
              </w:rPr>
              <w:t>engage in diverse experiences at home and abroad to increase their knowledge of global issues, regions, and cultures; improve their intercultural skills; and demonstrate global citizenship.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:rsidR="00A07172" w:rsidRDefault="00A07172" w:rsidP="00764B0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64B02" w:rsidRDefault="00A07172" w:rsidP="00764B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764B02">
              <w:rPr>
                <w:rFonts w:ascii="Segoe UI" w:hAnsi="Segoe UI" w:cs="Segoe UI"/>
                <w:sz w:val="20"/>
                <w:szCs w:val="20"/>
              </w:rPr>
              <w:t xml:space="preserve">QEP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Leadership Team has </w:t>
            </w:r>
            <w:r w:rsidR="00764B02">
              <w:rPr>
                <w:rFonts w:ascii="Segoe UI" w:hAnsi="Segoe UI" w:cs="Segoe UI"/>
                <w:sz w:val="20"/>
                <w:szCs w:val="20"/>
              </w:rPr>
              <w:t xml:space="preserve">met with fifty academic departments and units on campus in the past six months.  Through their communication with students, faculty, and </w:t>
            </w:r>
            <w:r>
              <w:rPr>
                <w:rFonts w:ascii="Segoe UI" w:hAnsi="Segoe UI" w:cs="Segoe UI"/>
                <w:sz w:val="20"/>
                <w:szCs w:val="20"/>
              </w:rPr>
              <w:t>staff</w:t>
            </w:r>
            <w:r w:rsidR="00764B02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they’ve </w:t>
            </w:r>
            <w:r w:rsidR="00764B02">
              <w:rPr>
                <w:rFonts w:ascii="Segoe UI" w:hAnsi="Segoe UI" w:cs="Segoe UI"/>
                <w:sz w:val="20"/>
                <w:szCs w:val="20"/>
              </w:rPr>
              <w:t xml:space="preserve">developed six activity goals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="00764B02">
              <w:rPr>
                <w:rFonts w:ascii="Segoe UI" w:hAnsi="Segoe UI" w:cs="Segoe UI"/>
                <w:sz w:val="20"/>
                <w:szCs w:val="20"/>
              </w:rPr>
              <w:t xml:space="preserve">the QEP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764B02">
              <w:rPr>
                <w:rFonts w:ascii="Segoe UI" w:hAnsi="Segoe UI" w:cs="Segoe UI"/>
                <w:sz w:val="20"/>
                <w:szCs w:val="20"/>
              </w:rPr>
              <w:t>tackle:</w:t>
            </w:r>
          </w:p>
          <w:p w:rsidR="00764B02" w:rsidRPr="000D215F" w:rsidRDefault="00764B02" w:rsidP="00764B02">
            <w:pPr>
              <w:pStyle w:val="ListParagraph"/>
              <w:rPr>
                <w:rFonts w:ascii="Segoe UI" w:hAnsi="Segoe UI" w:cs="Segoe UI"/>
                <w:sz w:val="6"/>
                <w:szCs w:val="6"/>
              </w:rPr>
            </w:pPr>
          </w:p>
          <w:p w:rsidR="00764B02" w:rsidRPr="00A07172" w:rsidRDefault="00764B02" w:rsidP="00764B0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07172">
              <w:rPr>
                <w:rFonts w:ascii="Segoe UI" w:hAnsi="Segoe UI" w:cs="Segoe UI"/>
                <w:sz w:val="18"/>
                <w:szCs w:val="18"/>
              </w:rPr>
              <w:t>Improve Administration and Coordination of International Efforts</w:t>
            </w:r>
          </w:p>
          <w:p w:rsidR="00764B02" w:rsidRPr="00A07172" w:rsidRDefault="00764B02" w:rsidP="00764B0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07172">
              <w:rPr>
                <w:rFonts w:ascii="Segoe UI" w:hAnsi="Segoe UI" w:cs="Segoe UI"/>
                <w:sz w:val="18"/>
                <w:szCs w:val="18"/>
              </w:rPr>
              <w:t>Increase Long-Term Study Abroad and Strengthen Short-Term Study Abroad</w:t>
            </w:r>
          </w:p>
          <w:p w:rsidR="00764B02" w:rsidRPr="00A07172" w:rsidRDefault="00764B02" w:rsidP="00764B0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07172">
              <w:rPr>
                <w:rFonts w:ascii="Segoe UI" w:hAnsi="Segoe UI" w:cs="Segoe UI"/>
                <w:sz w:val="18"/>
                <w:szCs w:val="18"/>
              </w:rPr>
              <w:t>Globalize Curricula</w:t>
            </w:r>
          </w:p>
          <w:p w:rsidR="00764B02" w:rsidRPr="00A07172" w:rsidRDefault="00764B02" w:rsidP="00764B0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07172">
              <w:rPr>
                <w:rFonts w:ascii="Segoe UI" w:hAnsi="Segoe UI" w:cs="Segoe UI"/>
                <w:sz w:val="18"/>
                <w:szCs w:val="18"/>
              </w:rPr>
              <w:t>Globalize Co-Curricular Activities</w:t>
            </w:r>
          </w:p>
          <w:p w:rsidR="00764B02" w:rsidRPr="00A07172" w:rsidRDefault="00764B02" w:rsidP="00764B0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07172">
              <w:rPr>
                <w:rFonts w:ascii="Segoe UI" w:hAnsi="Segoe UI" w:cs="Segoe UI"/>
                <w:sz w:val="18"/>
                <w:szCs w:val="18"/>
              </w:rPr>
              <w:t>Increase Number of International Faculty &amp; Students</w:t>
            </w:r>
          </w:p>
          <w:p w:rsidR="00764B02" w:rsidRPr="00A07172" w:rsidRDefault="00764B02" w:rsidP="00764B0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07172">
              <w:rPr>
                <w:rFonts w:ascii="Segoe UI" w:hAnsi="Segoe UI" w:cs="Segoe UI"/>
                <w:sz w:val="18"/>
                <w:szCs w:val="18"/>
              </w:rPr>
              <w:t>Expand Global Internships, Service Learning, and Research</w:t>
            </w:r>
          </w:p>
          <w:p w:rsidR="00764B02" w:rsidRPr="00A07172" w:rsidRDefault="00764B02" w:rsidP="00764B02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764B02" w:rsidRPr="00764B02" w:rsidRDefault="00764B02" w:rsidP="00764B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Actions have been proposed to accomplish each of these activity goals.  The next steps are to finalize actions for the Plan, and to create a full draft of the QEP for the SACS review committee and for digestion by the campus as a whole.</w:t>
            </w:r>
          </w:p>
        </w:tc>
      </w:tr>
    </w:tbl>
    <w:p w:rsidR="00F9539C" w:rsidRPr="00A07172" w:rsidRDefault="00F9539C">
      <w:pPr>
        <w:rPr>
          <w:rFonts w:ascii="Segoe UI" w:hAnsi="Segoe UI" w:cs="Segoe UI"/>
          <w:sz w:val="2"/>
          <w:szCs w:val="2"/>
        </w:rPr>
      </w:pPr>
    </w:p>
    <w:sectPr w:rsidR="00F9539C" w:rsidRPr="00A07172" w:rsidSect="00A0717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581"/>
    <w:multiLevelType w:val="hybridMultilevel"/>
    <w:tmpl w:val="47E6B4E0"/>
    <w:lvl w:ilvl="0" w:tplc="6A3C03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4883"/>
    <w:multiLevelType w:val="hybridMultilevel"/>
    <w:tmpl w:val="01D8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95"/>
    <w:rsid w:val="00000CE6"/>
    <w:rsid w:val="00044E77"/>
    <w:rsid w:val="000D215F"/>
    <w:rsid w:val="002D2695"/>
    <w:rsid w:val="00444F5F"/>
    <w:rsid w:val="005B54E5"/>
    <w:rsid w:val="006C52D2"/>
    <w:rsid w:val="00764B02"/>
    <w:rsid w:val="00941C83"/>
    <w:rsid w:val="00A07172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L. Donovan</dc:creator>
  <cp:lastModifiedBy>Georgie L. Donovan</cp:lastModifiedBy>
  <cp:revision>4</cp:revision>
  <cp:lastPrinted>2012-03-21T19:53:00Z</cp:lastPrinted>
  <dcterms:created xsi:type="dcterms:W3CDTF">2012-03-21T19:39:00Z</dcterms:created>
  <dcterms:modified xsi:type="dcterms:W3CDTF">2012-03-21T20:11:00Z</dcterms:modified>
</cp:coreProperties>
</file>